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4FD825" w14:textId="77777777" w:rsidR="000A2EC1" w:rsidRPr="000A2EC1" w:rsidRDefault="000A2EC1" w:rsidP="000A2EC1">
      <w:r w:rsidRPr="000A2EC1">
        <w:t>To</w:t>
      </w:r>
      <w:r w:rsidRPr="000A2EC1">
        <w:br/>
        <w:t>The IFRS Interpretations Committee</w:t>
      </w:r>
      <w:r w:rsidRPr="000A2EC1">
        <w:br/>
        <w:t>IFRS Foundation</w:t>
      </w:r>
    </w:p>
    <w:p w14:paraId="0123E740" w14:textId="77777777" w:rsidR="000A2EC1" w:rsidRPr="000A2EC1" w:rsidRDefault="000A2EC1" w:rsidP="000A2EC1">
      <w:r w:rsidRPr="000A2EC1">
        <w:rPr>
          <w:b/>
          <w:bCs/>
        </w:rPr>
        <w:t>Subject:</w:t>
      </w:r>
      <w:r w:rsidRPr="000A2EC1">
        <w:t xml:space="preserve"> Comments on Tentative Agenda Decision – Scope of the Requirement to Disclose Expenses by Nature (IFRS 18)</w:t>
      </w:r>
    </w:p>
    <w:p w14:paraId="596B33A0" w14:textId="77777777" w:rsidR="000A2EC1" w:rsidRPr="000A2EC1" w:rsidRDefault="000A2EC1" w:rsidP="000A2EC1">
      <w:r w:rsidRPr="000A2EC1">
        <w:t>Dear Sir/Madam,</w:t>
      </w:r>
    </w:p>
    <w:p w14:paraId="00A875DE" w14:textId="77777777" w:rsidR="000A2EC1" w:rsidRPr="000A2EC1" w:rsidRDefault="000A2EC1" w:rsidP="000A2EC1">
      <w:r w:rsidRPr="000A2EC1">
        <w:t xml:space="preserve">We appreciate the opportunity to comment on the Tentative Agenda Decision (TAD) issued by the IFRS Interpretations Committee relating to the </w:t>
      </w:r>
      <w:r w:rsidRPr="000A2EC1">
        <w:rPr>
          <w:b/>
          <w:bCs/>
        </w:rPr>
        <w:t>scope of the disclosure requirements in paragraph 83 of IFRS 18 – Presentation and Disclosure in Financial Statements</w:t>
      </w:r>
      <w:r w:rsidRPr="000A2EC1">
        <w:t>.</w:t>
      </w:r>
    </w:p>
    <w:p w14:paraId="59BE8470" w14:textId="77777777" w:rsidR="000A2EC1" w:rsidRPr="000A2EC1" w:rsidRDefault="000A2EC1" w:rsidP="000A2EC1">
      <w:r w:rsidRPr="000A2EC1">
        <w:t>We set out below our detailed and comparative observations.</w:t>
      </w:r>
    </w:p>
    <w:p w14:paraId="7CEB9EC4" w14:textId="77777777" w:rsidR="000A2EC1" w:rsidRPr="000A2EC1" w:rsidRDefault="0097027E" w:rsidP="000A2EC1">
      <w:r>
        <w:pict w14:anchorId="356F282D">
          <v:rect id="_x0000_i1025" style="width:0;height:1.5pt" o:hralign="center" o:hrstd="t" o:hr="t" fillcolor="#a0a0a0" stroked="f"/>
        </w:pict>
      </w:r>
    </w:p>
    <w:p w14:paraId="7636C7F3" w14:textId="77777777" w:rsidR="000A2EC1" w:rsidRPr="000A2EC1" w:rsidRDefault="000A2EC1" w:rsidP="000A2EC1">
      <w:pPr>
        <w:rPr>
          <w:b/>
          <w:bCs/>
        </w:rPr>
      </w:pPr>
      <w:r w:rsidRPr="000A2EC1">
        <w:rPr>
          <w:b/>
          <w:bCs/>
        </w:rPr>
        <w:t>1. Overall Agreement with the Committee’s Conclusion</w:t>
      </w:r>
    </w:p>
    <w:p w14:paraId="2EA1B422" w14:textId="77777777" w:rsidR="000A2EC1" w:rsidRPr="000A2EC1" w:rsidRDefault="000A2EC1" w:rsidP="000A2EC1">
      <w:r w:rsidRPr="000A2EC1">
        <w:t xml:space="preserve">We agree with the Committee’s conclusion that the principles and requirements in </w:t>
      </w:r>
      <w:r w:rsidRPr="000A2EC1">
        <w:rPr>
          <w:b/>
          <w:bCs/>
        </w:rPr>
        <w:t>IFRS 18 provide an adequate basis</w:t>
      </w:r>
      <w:r w:rsidRPr="000A2EC1">
        <w:t xml:space="preserve"> to determine the scope of paragraph 83 and that, consequently, no standard-setting project is required.</w:t>
      </w:r>
    </w:p>
    <w:p w14:paraId="0C8843C3" w14:textId="77777777" w:rsidR="000A2EC1" w:rsidRPr="000A2EC1" w:rsidRDefault="000A2EC1" w:rsidP="000A2EC1">
      <w:r w:rsidRPr="000A2EC1">
        <w:t xml:space="preserve">In particular, we support the conclusion that </w:t>
      </w:r>
      <w:r w:rsidRPr="000A2EC1">
        <w:rPr>
          <w:b/>
          <w:bCs/>
        </w:rPr>
        <w:t>paragraph 83 applies whenever an entity presents any line item comprising expenses classified by function in the operating category</w:t>
      </w:r>
      <w:r w:rsidRPr="000A2EC1">
        <w:t>, irrespective of:</w:t>
      </w:r>
    </w:p>
    <w:p w14:paraId="629C4749" w14:textId="77777777" w:rsidR="000A2EC1" w:rsidRPr="000A2EC1" w:rsidRDefault="000A2EC1" w:rsidP="000A2EC1">
      <w:pPr>
        <w:numPr>
          <w:ilvl w:val="0"/>
          <w:numId w:val="16"/>
        </w:numPr>
      </w:pPr>
      <w:r w:rsidRPr="000A2EC1">
        <w:t>whether such classification is made voluntarily using judgement, or</w:t>
      </w:r>
    </w:p>
    <w:p w14:paraId="2067A53F" w14:textId="77777777" w:rsidR="000A2EC1" w:rsidRPr="000A2EC1" w:rsidRDefault="000A2EC1" w:rsidP="000A2EC1">
      <w:pPr>
        <w:numPr>
          <w:ilvl w:val="0"/>
          <w:numId w:val="16"/>
        </w:numPr>
      </w:pPr>
      <w:r w:rsidRPr="000A2EC1">
        <w:t xml:space="preserve">required by another IFRS Accounting Standard, including </w:t>
      </w:r>
      <w:r w:rsidRPr="000A2EC1">
        <w:rPr>
          <w:b/>
          <w:bCs/>
        </w:rPr>
        <w:t>IFRS 9 or IFRS 17</w:t>
      </w:r>
      <w:r w:rsidRPr="000A2EC1">
        <w:t>.</w:t>
      </w:r>
    </w:p>
    <w:p w14:paraId="433B20AD" w14:textId="77777777" w:rsidR="000A2EC1" w:rsidRPr="000A2EC1" w:rsidRDefault="0097027E" w:rsidP="000A2EC1">
      <w:r>
        <w:pict w14:anchorId="0465291B">
          <v:rect id="_x0000_i1026" style="width:0;height:1.5pt" o:hralign="center" o:hrstd="t" o:hr="t" fillcolor="#a0a0a0" stroked="f"/>
        </w:pict>
      </w:r>
    </w:p>
    <w:p w14:paraId="4E616EEE" w14:textId="77777777" w:rsidR="000A2EC1" w:rsidRPr="000A2EC1" w:rsidRDefault="000A2EC1" w:rsidP="000A2EC1">
      <w:pPr>
        <w:rPr>
          <w:b/>
          <w:bCs/>
        </w:rPr>
      </w:pPr>
      <w:r w:rsidRPr="000A2EC1">
        <w:rPr>
          <w:b/>
          <w:bCs/>
        </w:rPr>
        <w:t>2. Comparative Analysis: IFRS 18 vs IAS 1</w:t>
      </w:r>
    </w:p>
    <w:p w14:paraId="0AE97163" w14:textId="77777777" w:rsidR="000A2EC1" w:rsidRPr="000A2EC1" w:rsidRDefault="000A2EC1" w:rsidP="000A2EC1">
      <w:pPr>
        <w:rPr>
          <w:b/>
          <w:bCs/>
        </w:rPr>
      </w:pPr>
      <w:r w:rsidRPr="000A2EC1">
        <w:rPr>
          <w:b/>
          <w:bCs/>
        </w:rPr>
        <w:t>(a) IAS 1 – Limited Explicit Guidance</w:t>
      </w:r>
    </w:p>
    <w:p w14:paraId="38AF9D09" w14:textId="77777777" w:rsidR="000A2EC1" w:rsidRPr="000A2EC1" w:rsidRDefault="000A2EC1" w:rsidP="000A2EC1">
      <w:r w:rsidRPr="000A2EC1">
        <w:t>Under IAS 1, the requirement to disclose expenses by nature when presented by function was:</w:t>
      </w:r>
    </w:p>
    <w:p w14:paraId="44283358" w14:textId="77777777" w:rsidR="000A2EC1" w:rsidRPr="000A2EC1" w:rsidRDefault="000A2EC1" w:rsidP="000A2EC1">
      <w:pPr>
        <w:numPr>
          <w:ilvl w:val="0"/>
          <w:numId w:val="17"/>
        </w:numPr>
      </w:pPr>
      <w:r w:rsidRPr="000A2EC1">
        <w:t>principle-based, but</w:t>
      </w:r>
    </w:p>
    <w:p w14:paraId="55467EF9" w14:textId="77777777" w:rsidR="000A2EC1" w:rsidRPr="000A2EC1" w:rsidRDefault="000A2EC1" w:rsidP="000A2EC1">
      <w:pPr>
        <w:numPr>
          <w:ilvl w:val="0"/>
          <w:numId w:val="17"/>
        </w:numPr>
      </w:pPr>
      <w:r w:rsidRPr="000A2EC1">
        <w:t>less explicit in terms of scope and interaction with other Standards.</w:t>
      </w:r>
    </w:p>
    <w:p w14:paraId="0C8205A7" w14:textId="77777777" w:rsidR="000A2EC1" w:rsidRPr="000A2EC1" w:rsidRDefault="000A2EC1" w:rsidP="000A2EC1">
      <w:r w:rsidRPr="000A2EC1">
        <w:t>This resulted in diversity in practice, particularly where:</w:t>
      </w:r>
    </w:p>
    <w:p w14:paraId="731FA06C" w14:textId="77777777" w:rsidR="000A2EC1" w:rsidRPr="000A2EC1" w:rsidRDefault="000A2EC1" w:rsidP="000A2EC1">
      <w:pPr>
        <w:numPr>
          <w:ilvl w:val="0"/>
          <w:numId w:val="18"/>
        </w:numPr>
      </w:pPr>
      <w:r w:rsidRPr="000A2EC1">
        <w:t>expenses arose from measurement Standards (e.g. insurance service expense, financial instruments), or</w:t>
      </w:r>
    </w:p>
    <w:p w14:paraId="1F5A3763" w14:textId="77777777" w:rsidR="000A2EC1" w:rsidRPr="000A2EC1" w:rsidRDefault="000A2EC1" w:rsidP="000A2EC1">
      <w:pPr>
        <w:numPr>
          <w:ilvl w:val="0"/>
          <w:numId w:val="18"/>
        </w:numPr>
      </w:pPr>
      <w:r w:rsidRPr="000A2EC1">
        <w:t>costs were capitalised and expensed indirectly over time.</w:t>
      </w:r>
    </w:p>
    <w:p w14:paraId="630B9705" w14:textId="77777777" w:rsidR="000A2EC1" w:rsidRPr="000A2EC1" w:rsidRDefault="000A2EC1" w:rsidP="000A2EC1">
      <w:pPr>
        <w:rPr>
          <w:b/>
          <w:bCs/>
        </w:rPr>
      </w:pPr>
      <w:r w:rsidRPr="000A2EC1">
        <w:rPr>
          <w:b/>
          <w:bCs/>
        </w:rPr>
        <w:t>(b) IFRS 18 – Deliberate Expansion of Transparency</w:t>
      </w:r>
    </w:p>
    <w:p w14:paraId="4EAD94A6" w14:textId="77777777" w:rsidR="000A2EC1" w:rsidRPr="000A2EC1" w:rsidRDefault="000A2EC1" w:rsidP="000A2EC1">
      <w:r w:rsidRPr="000A2EC1">
        <w:t xml:space="preserve">IFRS 18, through </w:t>
      </w:r>
      <w:r w:rsidRPr="000A2EC1">
        <w:rPr>
          <w:b/>
          <w:bCs/>
        </w:rPr>
        <w:t>paragraph 83</w:t>
      </w:r>
      <w:r w:rsidRPr="000A2EC1">
        <w:t xml:space="preserve">, significantly strengthens transparency by requiring a </w:t>
      </w:r>
      <w:r w:rsidRPr="000A2EC1">
        <w:rPr>
          <w:b/>
          <w:bCs/>
        </w:rPr>
        <w:t>single, comprehensive note</w:t>
      </w:r>
      <w:r w:rsidRPr="000A2EC1">
        <w:t xml:space="preserve"> reconciling functional presentation with key natural expense categories.</w:t>
      </w:r>
    </w:p>
    <w:p w14:paraId="742C8B7A" w14:textId="77777777" w:rsidR="000A2EC1" w:rsidRPr="000A2EC1" w:rsidRDefault="000A2EC1" w:rsidP="000A2EC1">
      <w:r w:rsidRPr="000A2EC1">
        <w:t xml:space="preserve">The Committee’s interpretation reflects the </w:t>
      </w:r>
      <w:r w:rsidRPr="000A2EC1">
        <w:rPr>
          <w:b/>
          <w:bCs/>
        </w:rPr>
        <w:t>intentional broadening</w:t>
      </w:r>
      <w:r w:rsidRPr="000A2EC1">
        <w:t xml:space="preserve"> of this requirement under IFRS 18, rather than a continuation of IAS 1 practice.</w:t>
      </w:r>
    </w:p>
    <w:p w14:paraId="6BEFCC17" w14:textId="77777777" w:rsidR="000A2EC1" w:rsidRPr="000A2EC1" w:rsidRDefault="0097027E" w:rsidP="000A2EC1">
      <w:r>
        <w:pict w14:anchorId="37E6B3B8">
          <v:rect id="_x0000_i1027" style="width:0;height:1.5pt" o:hralign="center" o:hrstd="t" o:hr="t" fillcolor="#a0a0a0" stroked="f"/>
        </w:pict>
      </w:r>
    </w:p>
    <w:p w14:paraId="69758976" w14:textId="77777777" w:rsidR="000A2EC1" w:rsidRPr="000A2EC1" w:rsidRDefault="000A2EC1" w:rsidP="000A2EC1">
      <w:pPr>
        <w:rPr>
          <w:b/>
          <w:bCs/>
        </w:rPr>
      </w:pPr>
      <w:r w:rsidRPr="000A2EC1">
        <w:rPr>
          <w:b/>
          <w:bCs/>
        </w:rPr>
        <w:t>3. Scope Clarification: Paragraph 75(a)(ii) vs 75(b)–(c)</w:t>
      </w:r>
    </w:p>
    <w:p w14:paraId="5D275E7D" w14:textId="77777777" w:rsidR="000A2EC1" w:rsidRPr="000A2EC1" w:rsidRDefault="000A2EC1" w:rsidP="000A2EC1">
      <w:r w:rsidRPr="000A2EC1">
        <w:t>We agree with the Committee that:</w:t>
      </w:r>
    </w:p>
    <w:p w14:paraId="4A60CD75" w14:textId="77777777" w:rsidR="000A2EC1" w:rsidRPr="000A2EC1" w:rsidRDefault="000A2EC1" w:rsidP="000A2EC1">
      <w:pPr>
        <w:numPr>
          <w:ilvl w:val="0"/>
          <w:numId w:val="19"/>
        </w:numPr>
      </w:pPr>
      <w:r w:rsidRPr="000A2EC1">
        <w:t xml:space="preserve">paragraph 83 contains </w:t>
      </w:r>
      <w:r w:rsidRPr="000A2EC1">
        <w:rPr>
          <w:b/>
          <w:bCs/>
        </w:rPr>
        <w:t>no exceptions or carve-outs</w:t>
      </w:r>
      <w:r w:rsidRPr="000A2EC1">
        <w:t>, and</w:t>
      </w:r>
    </w:p>
    <w:p w14:paraId="7EB6D87E" w14:textId="77777777" w:rsidR="000A2EC1" w:rsidRPr="000A2EC1" w:rsidRDefault="000A2EC1" w:rsidP="000A2EC1">
      <w:pPr>
        <w:numPr>
          <w:ilvl w:val="0"/>
          <w:numId w:val="19"/>
        </w:numPr>
      </w:pPr>
      <w:r w:rsidRPr="000A2EC1">
        <w:t>therefore applies equally to:</w:t>
      </w:r>
    </w:p>
    <w:p w14:paraId="479C558E" w14:textId="77777777" w:rsidR="000A2EC1" w:rsidRPr="000A2EC1" w:rsidRDefault="000A2EC1" w:rsidP="000A2EC1">
      <w:pPr>
        <w:numPr>
          <w:ilvl w:val="1"/>
          <w:numId w:val="19"/>
        </w:numPr>
      </w:pPr>
      <w:r w:rsidRPr="000A2EC1">
        <w:lastRenderedPageBreak/>
        <w:t>operating expenses listed in paragraph 75(a)(ii), and</w:t>
      </w:r>
    </w:p>
    <w:p w14:paraId="538B051F" w14:textId="77777777" w:rsidR="000A2EC1" w:rsidRPr="000A2EC1" w:rsidRDefault="000A2EC1" w:rsidP="000A2EC1">
      <w:pPr>
        <w:numPr>
          <w:ilvl w:val="1"/>
          <w:numId w:val="19"/>
        </w:numPr>
      </w:pPr>
      <w:r w:rsidRPr="000A2EC1">
        <w:t xml:space="preserve">expenses required to be presented under paragraph 75(b)–(c), including those arising from </w:t>
      </w:r>
      <w:r w:rsidRPr="000A2EC1">
        <w:rPr>
          <w:b/>
          <w:bCs/>
        </w:rPr>
        <w:t>IFRS 9 and IFRS 17</w:t>
      </w:r>
      <w:r w:rsidRPr="000A2EC1">
        <w:t>.</w:t>
      </w:r>
    </w:p>
    <w:p w14:paraId="17505C9E" w14:textId="77777777" w:rsidR="000A2EC1" w:rsidRPr="000A2EC1" w:rsidRDefault="000A2EC1" w:rsidP="000A2EC1">
      <w:r w:rsidRPr="000A2EC1">
        <w:t>This interpretation avoids an artificial distinction between:</w:t>
      </w:r>
    </w:p>
    <w:p w14:paraId="00FDD186" w14:textId="77777777" w:rsidR="000A2EC1" w:rsidRPr="000A2EC1" w:rsidRDefault="000A2EC1" w:rsidP="000A2EC1">
      <w:pPr>
        <w:numPr>
          <w:ilvl w:val="0"/>
          <w:numId w:val="20"/>
        </w:numPr>
      </w:pPr>
      <w:r w:rsidRPr="000A2EC1">
        <w:t>“core” operating expenses, and</w:t>
      </w:r>
    </w:p>
    <w:p w14:paraId="245BB708" w14:textId="77777777" w:rsidR="000A2EC1" w:rsidRPr="000A2EC1" w:rsidRDefault="000A2EC1" w:rsidP="000A2EC1">
      <w:pPr>
        <w:numPr>
          <w:ilvl w:val="0"/>
          <w:numId w:val="20"/>
        </w:numPr>
      </w:pPr>
      <w:r w:rsidRPr="000A2EC1">
        <w:t>expenses arising from specific Standards,</w:t>
      </w:r>
    </w:p>
    <w:p w14:paraId="6D896DF8" w14:textId="77777777" w:rsidR="000A2EC1" w:rsidRPr="000A2EC1" w:rsidRDefault="000A2EC1" w:rsidP="000A2EC1">
      <w:r w:rsidRPr="000A2EC1">
        <w:t>which would otherwise undermine comparability and completeness.</w:t>
      </w:r>
    </w:p>
    <w:p w14:paraId="4C4CB40C" w14:textId="77777777" w:rsidR="000A2EC1" w:rsidRPr="000A2EC1" w:rsidRDefault="0097027E" w:rsidP="000A2EC1">
      <w:r>
        <w:pict w14:anchorId="28897B8D">
          <v:rect id="_x0000_i1028" style="width:0;height:1.5pt" o:hralign="center" o:hrstd="t" o:hr="t" fillcolor="#a0a0a0" stroked="f"/>
        </w:pict>
      </w:r>
    </w:p>
    <w:p w14:paraId="35A416A3" w14:textId="77777777" w:rsidR="000A2EC1" w:rsidRPr="000A2EC1" w:rsidRDefault="000A2EC1" w:rsidP="000A2EC1">
      <w:pPr>
        <w:rPr>
          <w:b/>
          <w:bCs/>
        </w:rPr>
      </w:pPr>
      <w:r w:rsidRPr="000A2EC1">
        <w:rPr>
          <w:b/>
          <w:bCs/>
        </w:rPr>
        <w:t>4. Inclusion of Amounts Capitalised as Assets – Key Comparative Insight</w:t>
      </w:r>
    </w:p>
    <w:p w14:paraId="730542BA" w14:textId="77777777" w:rsidR="000A2EC1" w:rsidRPr="000A2EC1" w:rsidRDefault="000A2EC1" w:rsidP="000A2EC1">
      <w:r w:rsidRPr="000A2EC1">
        <w:t xml:space="preserve">We strongly support the Committee’s observation, consistent with </w:t>
      </w:r>
      <w:r w:rsidRPr="000A2EC1">
        <w:rPr>
          <w:b/>
          <w:bCs/>
        </w:rPr>
        <w:t>paragraph B84 of IFRS 18</w:t>
      </w:r>
      <w:r w:rsidRPr="000A2EC1">
        <w:t>, that:</w:t>
      </w:r>
    </w:p>
    <w:p w14:paraId="2BDDDFC5" w14:textId="77777777" w:rsidR="000A2EC1" w:rsidRPr="000A2EC1" w:rsidRDefault="000A2EC1" w:rsidP="000A2EC1">
      <w:pPr>
        <w:numPr>
          <w:ilvl w:val="0"/>
          <w:numId w:val="21"/>
        </w:numPr>
      </w:pPr>
      <w:r w:rsidRPr="000A2EC1">
        <w:t xml:space="preserve">amounts disclosed under paragraph 83 </w:t>
      </w:r>
      <w:r w:rsidRPr="000A2EC1">
        <w:rPr>
          <w:b/>
          <w:bCs/>
        </w:rPr>
        <w:t>need not equal amounts recognised as expenses in the period</w:t>
      </w:r>
      <w:r w:rsidRPr="000A2EC1">
        <w:t>.</w:t>
      </w:r>
    </w:p>
    <w:p w14:paraId="79DE4854" w14:textId="77777777" w:rsidR="000A2EC1" w:rsidRPr="000A2EC1" w:rsidRDefault="000A2EC1" w:rsidP="000A2EC1">
      <w:r w:rsidRPr="000A2EC1">
        <w:t>This is a significant and conceptually important clarification compared to IAS 1 practice.</w:t>
      </w:r>
    </w:p>
    <w:p w14:paraId="5F89AE75" w14:textId="77777777" w:rsidR="000A2EC1" w:rsidRPr="000A2EC1" w:rsidRDefault="000A2EC1" w:rsidP="000A2EC1">
      <w:r w:rsidRPr="000A2EC1">
        <w:t>Examples include:</w:t>
      </w:r>
    </w:p>
    <w:p w14:paraId="3FF6A6BB" w14:textId="77777777" w:rsidR="000A2EC1" w:rsidRPr="000A2EC1" w:rsidRDefault="000A2EC1" w:rsidP="000A2EC1">
      <w:pPr>
        <w:numPr>
          <w:ilvl w:val="0"/>
          <w:numId w:val="22"/>
        </w:numPr>
      </w:pPr>
      <w:r w:rsidRPr="000A2EC1">
        <w:t>depreciation embedded within insurance service expense under IFRS 17;</w:t>
      </w:r>
    </w:p>
    <w:p w14:paraId="746720CF" w14:textId="77777777" w:rsidR="000A2EC1" w:rsidRPr="000A2EC1" w:rsidRDefault="000A2EC1" w:rsidP="000A2EC1">
      <w:pPr>
        <w:numPr>
          <w:ilvl w:val="0"/>
          <w:numId w:val="22"/>
        </w:numPr>
      </w:pPr>
      <w:r w:rsidRPr="000A2EC1">
        <w:t>employee benefits capitalised into inventories or construction in progress;</w:t>
      </w:r>
    </w:p>
    <w:p w14:paraId="33628CFA" w14:textId="77777777" w:rsidR="000A2EC1" w:rsidRPr="000A2EC1" w:rsidRDefault="000A2EC1" w:rsidP="000A2EC1">
      <w:pPr>
        <w:numPr>
          <w:ilvl w:val="0"/>
          <w:numId w:val="22"/>
        </w:numPr>
      </w:pPr>
      <w:r w:rsidRPr="000A2EC1">
        <w:t>amortisation of acquisition costs included in asset balances.</w:t>
      </w:r>
    </w:p>
    <w:p w14:paraId="66C71C53" w14:textId="77777777" w:rsidR="000A2EC1" w:rsidRPr="000A2EC1" w:rsidRDefault="000A2EC1" w:rsidP="000A2EC1">
      <w:r w:rsidRPr="000A2EC1">
        <w:t>This approach enhances:</w:t>
      </w:r>
    </w:p>
    <w:p w14:paraId="7F967D41" w14:textId="77777777" w:rsidR="000A2EC1" w:rsidRPr="000A2EC1" w:rsidRDefault="000A2EC1" w:rsidP="000A2EC1">
      <w:pPr>
        <w:numPr>
          <w:ilvl w:val="0"/>
          <w:numId w:val="23"/>
        </w:numPr>
      </w:pPr>
      <w:r w:rsidRPr="000A2EC1">
        <w:t>transparency of cost structures, and</w:t>
      </w:r>
    </w:p>
    <w:p w14:paraId="4B503666" w14:textId="77777777" w:rsidR="000A2EC1" w:rsidRPr="000A2EC1" w:rsidRDefault="000A2EC1" w:rsidP="000A2EC1">
      <w:pPr>
        <w:numPr>
          <w:ilvl w:val="0"/>
          <w:numId w:val="23"/>
        </w:numPr>
      </w:pPr>
      <w:r w:rsidRPr="000A2EC1">
        <w:t>users’ ability to analyse cost behaviour across entities and industries.</w:t>
      </w:r>
    </w:p>
    <w:p w14:paraId="5F43D6C5" w14:textId="77777777" w:rsidR="000A2EC1" w:rsidRPr="000A2EC1" w:rsidRDefault="0097027E" w:rsidP="000A2EC1">
      <w:r>
        <w:pict w14:anchorId="3D55A4AB">
          <v:rect id="_x0000_i1029" style="width:0;height:1.5pt" o:hralign="center" o:hrstd="t" o:hr="t" fillcolor="#a0a0a0" stroked="f"/>
        </w:pict>
      </w:r>
    </w:p>
    <w:p w14:paraId="48933D1A" w14:textId="77777777" w:rsidR="000A2EC1" w:rsidRPr="000A2EC1" w:rsidRDefault="000A2EC1" w:rsidP="000A2EC1">
      <w:pPr>
        <w:rPr>
          <w:b/>
          <w:bCs/>
        </w:rPr>
      </w:pPr>
      <w:r w:rsidRPr="000A2EC1">
        <w:rPr>
          <w:b/>
          <w:bCs/>
        </w:rPr>
        <w:t>5. Comparison with IFRS 17 and IFRS 9 Objectives</w:t>
      </w:r>
    </w:p>
    <w:p w14:paraId="539BD9BF" w14:textId="77777777" w:rsidR="000A2EC1" w:rsidRPr="000A2EC1" w:rsidRDefault="000A2EC1" w:rsidP="000A2EC1">
      <w:r w:rsidRPr="000A2EC1">
        <w:t>While IFRS 17 and IFRS 9 focus on:</w:t>
      </w:r>
    </w:p>
    <w:p w14:paraId="1CFD6348" w14:textId="77777777" w:rsidR="000A2EC1" w:rsidRPr="000A2EC1" w:rsidRDefault="000A2EC1" w:rsidP="000A2EC1">
      <w:pPr>
        <w:numPr>
          <w:ilvl w:val="0"/>
          <w:numId w:val="24"/>
        </w:numPr>
      </w:pPr>
      <w:r w:rsidRPr="000A2EC1">
        <w:t>faithful measurement of contracts and instruments,</w:t>
      </w:r>
    </w:p>
    <w:p w14:paraId="3FD69467" w14:textId="77777777" w:rsidR="000A2EC1" w:rsidRPr="000A2EC1" w:rsidRDefault="000A2EC1" w:rsidP="000A2EC1">
      <w:r w:rsidRPr="000A2EC1">
        <w:t xml:space="preserve">IFRS 18 addresses </w:t>
      </w:r>
      <w:r w:rsidRPr="000A2EC1">
        <w:rPr>
          <w:b/>
          <w:bCs/>
        </w:rPr>
        <w:t>presentation and understandability</w:t>
      </w:r>
      <w:r w:rsidRPr="000A2EC1">
        <w:t xml:space="preserve"> at the primary financial statement level.</w:t>
      </w:r>
    </w:p>
    <w:p w14:paraId="260805B1" w14:textId="77777777" w:rsidR="000A2EC1" w:rsidRPr="000A2EC1" w:rsidRDefault="000A2EC1" w:rsidP="000A2EC1">
      <w:r w:rsidRPr="000A2EC1">
        <w:t>The Committee’s conclusion appropriately recognises that:</w:t>
      </w:r>
    </w:p>
    <w:p w14:paraId="1CCF1BB6" w14:textId="77777777" w:rsidR="000A2EC1" w:rsidRPr="000A2EC1" w:rsidRDefault="000A2EC1" w:rsidP="000A2EC1">
      <w:pPr>
        <w:numPr>
          <w:ilvl w:val="0"/>
          <w:numId w:val="25"/>
        </w:numPr>
      </w:pPr>
      <w:r w:rsidRPr="000A2EC1">
        <w:t xml:space="preserve">presentation requirements under IFRS 18 operate </w:t>
      </w:r>
      <w:r w:rsidRPr="000A2EC1">
        <w:rPr>
          <w:b/>
          <w:bCs/>
        </w:rPr>
        <w:t>in addition to</w:t>
      </w:r>
      <w:r w:rsidRPr="000A2EC1">
        <w:t>, not subordinate to, measurement Standards.</w:t>
      </w:r>
    </w:p>
    <w:p w14:paraId="5066E8BD" w14:textId="77777777" w:rsidR="000A2EC1" w:rsidRPr="000A2EC1" w:rsidRDefault="000A2EC1" w:rsidP="000A2EC1">
      <w:r w:rsidRPr="000A2EC1">
        <w:t>This avoids the risk that specialised Standards could unintentionally narrow IFRS 18’s disclosure objectives.</w:t>
      </w:r>
    </w:p>
    <w:p w14:paraId="16FB696A" w14:textId="77777777" w:rsidR="000A2EC1" w:rsidRPr="000A2EC1" w:rsidRDefault="0097027E" w:rsidP="000A2EC1">
      <w:r>
        <w:pict w14:anchorId="199B02CC">
          <v:rect id="_x0000_i1030" style="width:0;height:1.5pt" o:hralign="center" o:hrstd="t" o:hr="t" fillcolor="#a0a0a0" stroked="f"/>
        </w:pict>
      </w:r>
    </w:p>
    <w:p w14:paraId="4607B750" w14:textId="77777777" w:rsidR="000A2EC1" w:rsidRPr="000A2EC1" w:rsidRDefault="000A2EC1" w:rsidP="000A2EC1">
      <w:pPr>
        <w:rPr>
          <w:b/>
          <w:bCs/>
        </w:rPr>
      </w:pPr>
      <w:r w:rsidRPr="000A2EC1">
        <w:rPr>
          <w:b/>
          <w:bCs/>
        </w:rPr>
        <w:t>6. Disclosure Discipline and User Benefit</w:t>
      </w:r>
    </w:p>
    <w:p w14:paraId="31104D8F" w14:textId="77777777" w:rsidR="000A2EC1" w:rsidRPr="000A2EC1" w:rsidRDefault="000A2EC1" w:rsidP="000A2EC1">
      <w:r w:rsidRPr="000A2EC1">
        <w:t>The requirement to provide:</w:t>
      </w:r>
    </w:p>
    <w:p w14:paraId="597C2417" w14:textId="77777777" w:rsidR="000A2EC1" w:rsidRPr="000A2EC1" w:rsidRDefault="000A2EC1" w:rsidP="000A2EC1">
      <w:pPr>
        <w:numPr>
          <w:ilvl w:val="0"/>
          <w:numId w:val="26"/>
        </w:numPr>
      </w:pPr>
      <w:r w:rsidRPr="000A2EC1">
        <w:t>qualitative explanations where disclosed amounts differ from period expenses, and</w:t>
      </w:r>
    </w:p>
    <w:p w14:paraId="0A816897" w14:textId="77777777" w:rsidR="000A2EC1" w:rsidRPr="000A2EC1" w:rsidRDefault="000A2EC1" w:rsidP="000A2EC1">
      <w:pPr>
        <w:numPr>
          <w:ilvl w:val="0"/>
          <w:numId w:val="26"/>
        </w:numPr>
      </w:pPr>
      <w:r w:rsidRPr="000A2EC1">
        <w:t>identification of related assets,</w:t>
      </w:r>
    </w:p>
    <w:p w14:paraId="2196215B" w14:textId="77777777" w:rsidR="000A2EC1" w:rsidRPr="000A2EC1" w:rsidRDefault="000A2EC1" w:rsidP="000A2EC1">
      <w:r w:rsidRPr="000A2EC1">
        <w:t>ensures that the expanded scope of paragraph 83 does not result in confusion or misinterpretation.</w:t>
      </w:r>
    </w:p>
    <w:p w14:paraId="178A51E4" w14:textId="77777777" w:rsidR="000A2EC1" w:rsidRPr="000A2EC1" w:rsidRDefault="000A2EC1" w:rsidP="000A2EC1">
      <w:r w:rsidRPr="000A2EC1">
        <w:t>We believe this strikes an appropriate balance between:</w:t>
      </w:r>
    </w:p>
    <w:p w14:paraId="3074434A" w14:textId="77777777" w:rsidR="000A2EC1" w:rsidRPr="000A2EC1" w:rsidRDefault="000A2EC1" w:rsidP="000A2EC1">
      <w:pPr>
        <w:numPr>
          <w:ilvl w:val="0"/>
          <w:numId w:val="27"/>
        </w:numPr>
      </w:pPr>
      <w:r w:rsidRPr="000A2EC1">
        <w:lastRenderedPageBreak/>
        <w:t>enhanced transparency, and</w:t>
      </w:r>
    </w:p>
    <w:p w14:paraId="77462ED8" w14:textId="77777777" w:rsidR="000A2EC1" w:rsidRPr="000A2EC1" w:rsidRDefault="000A2EC1" w:rsidP="000A2EC1">
      <w:pPr>
        <w:numPr>
          <w:ilvl w:val="0"/>
          <w:numId w:val="27"/>
        </w:numPr>
      </w:pPr>
      <w:r w:rsidRPr="000A2EC1">
        <w:t>contextual clarity for users.</w:t>
      </w:r>
    </w:p>
    <w:p w14:paraId="5A8000D0" w14:textId="77777777" w:rsidR="000A2EC1" w:rsidRPr="000A2EC1" w:rsidRDefault="0097027E" w:rsidP="000A2EC1">
      <w:r>
        <w:pict w14:anchorId="6AC71B4E">
          <v:rect id="_x0000_i1031" style="width:0;height:1.5pt" o:hralign="center" o:hrstd="t" o:hr="t" fillcolor="#a0a0a0" stroked="f"/>
        </w:pict>
      </w:r>
    </w:p>
    <w:p w14:paraId="7BAC1E93" w14:textId="77777777" w:rsidR="000A2EC1" w:rsidRPr="000A2EC1" w:rsidRDefault="000A2EC1" w:rsidP="000A2EC1">
      <w:pPr>
        <w:rPr>
          <w:b/>
          <w:bCs/>
        </w:rPr>
      </w:pPr>
      <w:r w:rsidRPr="000A2EC1">
        <w:rPr>
          <w:b/>
          <w:bCs/>
        </w:rPr>
        <w:t>7. Practical Considerations and Implementation Impact</w:t>
      </w:r>
    </w:p>
    <w:p w14:paraId="151DE6A4" w14:textId="77777777" w:rsidR="000A2EC1" w:rsidRPr="000A2EC1" w:rsidRDefault="000A2EC1" w:rsidP="000A2EC1">
      <w:r w:rsidRPr="000A2EC1">
        <w:t>We acknowledge that the Committee’s interpretation may:</w:t>
      </w:r>
    </w:p>
    <w:p w14:paraId="3725D129" w14:textId="77777777" w:rsidR="000A2EC1" w:rsidRPr="000A2EC1" w:rsidRDefault="000A2EC1" w:rsidP="000A2EC1">
      <w:pPr>
        <w:numPr>
          <w:ilvl w:val="0"/>
          <w:numId w:val="28"/>
        </w:numPr>
      </w:pPr>
      <w:r w:rsidRPr="000A2EC1">
        <w:t>increase data aggregation and systems requirements, particularly for insurers and complex groups.</w:t>
      </w:r>
    </w:p>
    <w:p w14:paraId="40D5D27C" w14:textId="77777777" w:rsidR="000A2EC1" w:rsidRPr="000A2EC1" w:rsidRDefault="000A2EC1" w:rsidP="000A2EC1">
      <w:r w:rsidRPr="000A2EC1">
        <w:t xml:space="preserve">However, this is a </w:t>
      </w:r>
      <w:r w:rsidRPr="000A2EC1">
        <w:rPr>
          <w:b/>
          <w:bCs/>
        </w:rPr>
        <w:t>necessary consequence</w:t>
      </w:r>
      <w:r w:rsidRPr="000A2EC1">
        <w:t xml:space="preserve"> of IFRS 18’s objective to:</w:t>
      </w:r>
    </w:p>
    <w:p w14:paraId="65F8A88D" w14:textId="77777777" w:rsidR="000A2EC1" w:rsidRPr="000A2EC1" w:rsidRDefault="000A2EC1" w:rsidP="000A2EC1">
      <w:pPr>
        <w:numPr>
          <w:ilvl w:val="0"/>
          <w:numId w:val="29"/>
        </w:numPr>
      </w:pPr>
      <w:r w:rsidRPr="000A2EC1">
        <w:t>improve analytical usefulness, and</w:t>
      </w:r>
    </w:p>
    <w:p w14:paraId="0F670A55" w14:textId="77777777" w:rsidR="000A2EC1" w:rsidRPr="000A2EC1" w:rsidRDefault="000A2EC1" w:rsidP="000A2EC1">
      <w:pPr>
        <w:numPr>
          <w:ilvl w:val="0"/>
          <w:numId w:val="29"/>
        </w:numPr>
      </w:pPr>
      <w:r w:rsidRPr="000A2EC1">
        <w:t>enable better comparison between entities that present expenses by function.</w:t>
      </w:r>
    </w:p>
    <w:p w14:paraId="7F0421F0" w14:textId="77777777" w:rsidR="000A2EC1" w:rsidRPr="000A2EC1" w:rsidRDefault="000A2EC1" w:rsidP="000A2EC1">
      <w:r w:rsidRPr="000A2EC1">
        <w:t>We do not believe these implications justify a standard-setting project.</w:t>
      </w:r>
    </w:p>
    <w:p w14:paraId="5C96E3D4" w14:textId="77777777" w:rsidR="000A2EC1" w:rsidRPr="000A2EC1" w:rsidRDefault="0097027E" w:rsidP="000A2EC1">
      <w:r>
        <w:pict w14:anchorId="736F7F50">
          <v:rect id="_x0000_i1032" style="width:0;height:1.5pt" o:hralign="center" o:hrstd="t" o:hr="t" fillcolor="#a0a0a0" stroked="f"/>
        </w:pict>
      </w:r>
    </w:p>
    <w:p w14:paraId="23AF2EBC" w14:textId="77777777" w:rsidR="000A2EC1" w:rsidRPr="000A2EC1" w:rsidRDefault="000A2EC1" w:rsidP="000A2EC1">
      <w:pPr>
        <w:rPr>
          <w:b/>
          <w:bCs/>
        </w:rPr>
      </w:pPr>
      <w:r w:rsidRPr="000A2EC1">
        <w:rPr>
          <w:b/>
          <w:bCs/>
        </w:rPr>
        <w:t>8. Consistency with Other IFRS 18 Agenda Decisions</w:t>
      </w:r>
    </w:p>
    <w:p w14:paraId="12A0994C" w14:textId="77777777" w:rsidR="000A2EC1" w:rsidRPr="000A2EC1" w:rsidRDefault="000A2EC1" w:rsidP="000A2EC1">
      <w:r w:rsidRPr="000A2EC1">
        <w:t>This TAD is consistent with other IFRS 18-related agenda decisions issued to date, which:</w:t>
      </w:r>
    </w:p>
    <w:p w14:paraId="3625B886" w14:textId="77777777" w:rsidR="000A2EC1" w:rsidRPr="000A2EC1" w:rsidRDefault="000A2EC1" w:rsidP="000A2EC1">
      <w:pPr>
        <w:numPr>
          <w:ilvl w:val="0"/>
          <w:numId w:val="30"/>
        </w:numPr>
      </w:pPr>
      <w:r w:rsidRPr="000A2EC1">
        <w:t>emphasise strict adherence to the scope and structure of IFRS 18, and</w:t>
      </w:r>
    </w:p>
    <w:p w14:paraId="6024C432" w14:textId="77777777" w:rsidR="000A2EC1" w:rsidRPr="000A2EC1" w:rsidRDefault="000A2EC1" w:rsidP="000A2EC1">
      <w:pPr>
        <w:numPr>
          <w:ilvl w:val="0"/>
          <w:numId w:val="30"/>
        </w:numPr>
      </w:pPr>
      <w:r w:rsidRPr="000A2EC1">
        <w:t>discourage selective application based on legacy presentation practices.</w:t>
      </w:r>
    </w:p>
    <w:p w14:paraId="7D8791FE" w14:textId="77777777" w:rsidR="000A2EC1" w:rsidRPr="000A2EC1" w:rsidRDefault="000A2EC1" w:rsidP="000A2EC1">
      <w:r w:rsidRPr="000A2EC1">
        <w:t>This consistency is critical for successful global adoption of IFRS 18.</w:t>
      </w:r>
    </w:p>
    <w:p w14:paraId="54F8C9B0" w14:textId="77777777" w:rsidR="000A2EC1" w:rsidRPr="000A2EC1" w:rsidRDefault="0097027E" w:rsidP="000A2EC1">
      <w:r>
        <w:pict w14:anchorId="17740332">
          <v:rect id="_x0000_i1033" style="width:0;height:1.5pt" o:hralign="center" o:hrstd="t" o:hr="t" fillcolor="#a0a0a0" stroked="f"/>
        </w:pict>
      </w:r>
    </w:p>
    <w:p w14:paraId="675E4E0F" w14:textId="77777777" w:rsidR="000A2EC1" w:rsidRPr="000A2EC1" w:rsidRDefault="000A2EC1" w:rsidP="000A2EC1">
      <w:pPr>
        <w:rPr>
          <w:b/>
          <w:bCs/>
        </w:rPr>
      </w:pPr>
      <w:r w:rsidRPr="000A2EC1">
        <w:rPr>
          <w:b/>
          <w:bCs/>
        </w:rPr>
        <w:t>9. Suggested Supporting Guidance (Without Standard-Setting)</w:t>
      </w:r>
    </w:p>
    <w:p w14:paraId="27E58F96" w14:textId="77777777" w:rsidR="000A2EC1" w:rsidRPr="000A2EC1" w:rsidRDefault="000A2EC1" w:rsidP="000A2EC1">
      <w:r w:rsidRPr="000A2EC1">
        <w:t>While we agree that no standard-setting project is necessary, we suggest that:</w:t>
      </w:r>
    </w:p>
    <w:p w14:paraId="2CC223D1" w14:textId="77777777" w:rsidR="000A2EC1" w:rsidRPr="000A2EC1" w:rsidRDefault="000A2EC1" w:rsidP="000A2EC1">
      <w:pPr>
        <w:numPr>
          <w:ilvl w:val="0"/>
          <w:numId w:val="31"/>
        </w:numPr>
      </w:pPr>
      <w:r w:rsidRPr="000A2EC1">
        <w:t>educational material or illustrative examples be developed to demonstrate:</w:t>
      </w:r>
    </w:p>
    <w:p w14:paraId="2EE4D6DA" w14:textId="77777777" w:rsidR="000A2EC1" w:rsidRPr="000A2EC1" w:rsidRDefault="000A2EC1" w:rsidP="000A2EC1">
      <w:pPr>
        <w:numPr>
          <w:ilvl w:val="1"/>
          <w:numId w:val="31"/>
        </w:numPr>
      </w:pPr>
      <w:r w:rsidRPr="000A2EC1">
        <w:t>application of paragraph 83 in IFRS 17-dominant entities; and</w:t>
      </w:r>
    </w:p>
    <w:p w14:paraId="1C133F71" w14:textId="77777777" w:rsidR="000A2EC1" w:rsidRPr="000A2EC1" w:rsidRDefault="000A2EC1" w:rsidP="000A2EC1">
      <w:pPr>
        <w:numPr>
          <w:ilvl w:val="1"/>
          <w:numId w:val="31"/>
        </w:numPr>
      </w:pPr>
      <w:r w:rsidRPr="000A2EC1">
        <w:t>reconciliation where significant costs are capitalised.</w:t>
      </w:r>
    </w:p>
    <w:p w14:paraId="1CF4F931" w14:textId="2CA739EB" w:rsidR="000A2EC1" w:rsidRPr="000A2EC1" w:rsidRDefault="000A2EC1" w:rsidP="000A2EC1">
      <w:r w:rsidRPr="000A2EC1">
        <w:t>Such guidance would promote consistent application without amending IFRS 18.</w:t>
      </w:r>
    </w:p>
    <w:p w14:paraId="43F5C45A" w14:textId="77777777" w:rsidR="00EC077E" w:rsidRDefault="000A2EC1" w:rsidP="000A2EC1">
      <w:pPr>
        <w:rPr>
          <w:b/>
          <w:bCs/>
        </w:rPr>
      </w:pPr>
      <w:r w:rsidRPr="000A2EC1">
        <w:rPr>
          <w:b/>
          <w:bCs/>
        </w:rPr>
        <w:t>10. Conclusion</w:t>
      </w:r>
    </w:p>
    <w:p w14:paraId="4B7E4655" w14:textId="3B9AFD57" w:rsidR="000A2EC1" w:rsidRPr="00EC077E" w:rsidRDefault="000A2EC1" w:rsidP="000A2EC1">
      <w:pPr>
        <w:rPr>
          <w:b/>
          <w:bCs/>
        </w:rPr>
      </w:pPr>
      <w:r w:rsidRPr="000A2EC1">
        <w:t xml:space="preserve">We support the Tentative Agenda Decision and agree that </w:t>
      </w:r>
      <w:r w:rsidRPr="000A2EC1">
        <w:rPr>
          <w:b/>
          <w:bCs/>
        </w:rPr>
        <w:t>IFRS 18 contains sufficient principles and guidance</w:t>
      </w:r>
      <w:r w:rsidRPr="000A2EC1">
        <w:t xml:space="preserve"> to determine the scope of paragraph 83.</w:t>
      </w:r>
    </w:p>
    <w:p w14:paraId="465D14E7" w14:textId="77777777" w:rsidR="000A2EC1" w:rsidRPr="000A2EC1" w:rsidRDefault="000A2EC1" w:rsidP="000A2EC1">
      <w:r w:rsidRPr="000A2EC1">
        <w:t>The Committee’s conclusions:</w:t>
      </w:r>
    </w:p>
    <w:p w14:paraId="7BF7BC94" w14:textId="77777777" w:rsidR="000A2EC1" w:rsidRPr="000A2EC1" w:rsidRDefault="000A2EC1" w:rsidP="000A2EC1">
      <w:pPr>
        <w:numPr>
          <w:ilvl w:val="0"/>
          <w:numId w:val="32"/>
        </w:numPr>
      </w:pPr>
      <w:r w:rsidRPr="000A2EC1">
        <w:t>reinforce transparency,</w:t>
      </w:r>
    </w:p>
    <w:p w14:paraId="6A0A71B9" w14:textId="77777777" w:rsidR="000A2EC1" w:rsidRPr="000A2EC1" w:rsidRDefault="000A2EC1" w:rsidP="000A2EC1">
      <w:pPr>
        <w:numPr>
          <w:ilvl w:val="0"/>
          <w:numId w:val="32"/>
        </w:numPr>
      </w:pPr>
      <w:r w:rsidRPr="000A2EC1">
        <w:t>enhance comparability, and</w:t>
      </w:r>
    </w:p>
    <w:p w14:paraId="2DB9BF11" w14:textId="77777777" w:rsidR="000A2EC1" w:rsidRPr="000A2EC1" w:rsidRDefault="000A2EC1" w:rsidP="000A2EC1">
      <w:pPr>
        <w:numPr>
          <w:ilvl w:val="0"/>
          <w:numId w:val="32"/>
        </w:numPr>
      </w:pPr>
      <w:r w:rsidRPr="000A2EC1">
        <w:t>faithfully reflect the objectives of IFRS 18.</w:t>
      </w:r>
    </w:p>
    <w:p w14:paraId="49E3C87D" w14:textId="77777777" w:rsidR="000A2EC1" w:rsidRPr="000A2EC1" w:rsidRDefault="000A2EC1" w:rsidP="000A2EC1">
      <w:r w:rsidRPr="000A2EC1">
        <w:t>We appreciate the opportunity to submit our comments.</w:t>
      </w:r>
    </w:p>
    <w:p w14:paraId="5E9432DC" w14:textId="77777777" w:rsidR="00EC077E" w:rsidRDefault="000A2EC1" w:rsidP="000A2EC1">
      <w:r w:rsidRPr="000A2EC1">
        <w:t>Yours faithfully,</w:t>
      </w:r>
    </w:p>
    <w:p w14:paraId="19DF6878" w14:textId="7AA672EF" w:rsidR="00EC077E" w:rsidRDefault="000A2EC1" w:rsidP="000A2EC1">
      <w:r w:rsidRPr="000A2EC1">
        <w:rPr>
          <w:b/>
          <w:bCs/>
        </w:rPr>
        <w:t>For and on behalf of</w:t>
      </w:r>
      <w:r w:rsidRPr="000A2EC1">
        <w:br/>
      </w:r>
      <w:r w:rsidR="00AE4484">
        <w:t xml:space="preserve">CA </w:t>
      </w:r>
      <w:r w:rsidR="00FD7CB2">
        <w:t>Yash Kuwad</w:t>
      </w:r>
    </w:p>
    <w:p w14:paraId="27698EB3" w14:textId="4F1BE677" w:rsidR="00EC077E" w:rsidRPr="000A2EC1" w:rsidRDefault="00EC077E" w:rsidP="000A2EC1">
      <w:r>
        <w:t xml:space="preserve">Membership No. </w:t>
      </w:r>
      <w:r w:rsidR="00053A88">
        <w:t>182156</w:t>
      </w:r>
    </w:p>
    <w:p w14:paraId="03E11743" w14:textId="19DF9336" w:rsidR="000A2EC1" w:rsidRPr="000A2EC1" w:rsidRDefault="000A2EC1" w:rsidP="000A2EC1"/>
    <w:sectPr w:rsidR="000A2EC1" w:rsidRPr="000A2EC1" w:rsidSect="000A2560">
      <w:pgSz w:w="11906" w:h="16838"/>
      <w:pgMar w:top="433" w:right="566" w:bottom="1134" w:left="567" w:header="709" w:footer="227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E5731"/>
    <w:multiLevelType w:val="multilevel"/>
    <w:tmpl w:val="60ECC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3F112C"/>
    <w:multiLevelType w:val="multilevel"/>
    <w:tmpl w:val="D2CA19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974A83"/>
    <w:multiLevelType w:val="multilevel"/>
    <w:tmpl w:val="9E48A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5BE06E8"/>
    <w:multiLevelType w:val="multilevel"/>
    <w:tmpl w:val="20D61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6B1EB6"/>
    <w:multiLevelType w:val="multilevel"/>
    <w:tmpl w:val="D4660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82C0489"/>
    <w:multiLevelType w:val="multilevel"/>
    <w:tmpl w:val="587A9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9866A40"/>
    <w:multiLevelType w:val="multilevel"/>
    <w:tmpl w:val="BB38E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D156F57"/>
    <w:multiLevelType w:val="multilevel"/>
    <w:tmpl w:val="52169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EB40B1A"/>
    <w:multiLevelType w:val="multilevel"/>
    <w:tmpl w:val="20E0B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CF854EF"/>
    <w:multiLevelType w:val="multilevel"/>
    <w:tmpl w:val="5448B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D17786E"/>
    <w:multiLevelType w:val="multilevel"/>
    <w:tmpl w:val="D4AA3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D7776A9"/>
    <w:multiLevelType w:val="multilevel"/>
    <w:tmpl w:val="12581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6A63B55"/>
    <w:multiLevelType w:val="multilevel"/>
    <w:tmpl w:val="EDA0A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7A03E21"/>
    <w:multiLevelType w:val="multilevel"/>
    <w:tmpl w:val="7C38F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E354822"/>
    <w:multiLevelType w:val="multilevel"/>
    <w:tmpl w:val="E2C4F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E754202"/>
    <w:multiLevelType w:val="multilevel"/>
    <w:tmpl w:val="FFDAE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E852D86"/>
    <w:multiLevelType w:val="multilevel"/>
    <w:tmpl w:val="78143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42C12B4"/>
    <w:multiLevelType w:val="multilevel"/>
    <w:tmpl w:val="839A2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44E263B"/>
    <w:multiLevelType w:val="multilevel"/>
    <w:tmpl w:val="D16A8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54F272A"/>
    <w:multiLevelType w:val="multilevel"/>
    <w:tmpl w:val="6C86B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785708C"/>
    <w:multiLevelType w:val="multilevel"/>
    <w:tmpl w:val="0570F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DB72E19"/>
    <w:multiLevelType w:val="multilevel"/>
    <w:tmpl w:val="74FA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0CE43AA"/>
    <w:multiLevelType w:val="multilevel"/>
    <w:tmpl w:val="49163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2321917"/>
    <w:multiLevelType w:val="multilevel"/>
    <w:tmpl w:val="74F2E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42605AA"/>
    <w:multiLevelType w:val="multilevel"/>
    <w:tmpl w:val="DDB2A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4434B92"/>
    <w:multiLevelType w:val="multilevel"/>
    <w:tmpl w:val="E1702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F063E7B"/>
    <w:multiLevelType w:val="multilevel"/>
    <w:tmpl w:val="88021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14F6455"/>
    <w:multiLevelType w:val="multilevel"/>
    <w:tmpl w:val="C28AA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95D50A2"/>
    <w:multiLevelType w:val="multilevel"/>
    <w:tmpl w:val="35D0F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ADC5282"/>
    <w:multiLevelType w:val="multilevel"/>
    <w:tmpl w:val="34BA3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E83720E"/>
    <w:multiLevelType w:val="multilevel"/>
    <w:tmpl w:val="892CE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26437FC"/>
    <w:multiLevelType w:val="multilevel"/>
    <w:tmpl w:val="14206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A1247B2"/>
    <w:multiLevelType w:val="multilevel"/>
    <w:tmpl w:val="531E3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12989571">
    <w:abstractNumId w:val="26"/>
  </w:num>
  <w:num w:numId="2" w16cid:durableId="1806655708">
    <w:abstractNumId w:val="8"/>
  </w:num>
  <w:num w:numId="3" w16cid:durableId="151530813">
    <w:abstractNumId w:val="6"/>
  </w:num>
  <w:num w:numId="4" w16cid:durableId="706486073">
    <w:abstractNumId w:val="17"/>
  </w:num>
  <w:num w:numId="5" w16cid:durableId="1100838632">
    <w:abstractNumId w:val="3"/>
  </w:num>
  <w:num w:numId="6" w16cid:durableId="35085042">
    <w:abstractNumId w:val="1"/>
  </w:num>
  <w:num w:numId="7" w16cid:durableId="207954631">
    <w:abstractNumId w:val="15"/>
  </w:num>
  <w:num w:numId="8" w16cid:durableId="566233363">
    <w:abstractNumId w:val="28"/>
  </w:num>
  <w:num w:numId="9" w16cid:durableId="1099259924">
    <w:abstractNumId w:val="16"/>
  </w:num>
  <w:num w:numId="10" w16cid:durableId="1656565776">
    <w:abstractNumId w:val="5"/>
  </w:num>
  <w:num w:numId="11" w16cid:durableId="1128088393">
    <w:abstractNumId w:val="2"/>
  </w:num>
  <w:num w:numId="12" w16cid:durableId="52197943">
    <w:abstractNumId w:val="32"/>
  </w:num>
  <w:num w:numId="13" w16cid:durableId="1148592701">
    <w:abstractNumId w:val="31"/>
  </w:num>
  <w:num w:numId="14" w16cid:durableId="1783962063">
    <w:abstractNumId w:val="19"/>
  </w:num>
  <w:num w:numId="15" w16cid:durableId="1530558972">
    <w:abstractNumId w:val="25"/>
  </w:num>
  <w:num w:numId="16" w16cid:durableId="1005787117">
    <w:abstractNumId w:val="13"/>
  </w:num>
  <w:num w:numId="17" w16cid:durableId="518739374">
    <w:abstractNumId w:val="4"/>
  </w:num>
  <w:num w:numId="18" w16cid:durableId="206307519">
    <w:abstractNumId w:val="12"/>
  </w:num>
  <w:num w:numId="19" w16cid:durableId="758792942">
    <w:abstractNumId w:val="24"/>
  </w:num>
  <w:num w:numId="20" w16cid:durableId="647243610">
    <w:abstractNumId w:val="27"/>
  </w:num>
  <w:num w:numId="21" w16cid:durableId="1343585990">
    <w:abstractNumId w:val="23"/>
  </w:num>
  <w:num w:numId="22" w16cid:durableId="458643352">
    <w:abstractNumId w:val="14"/>
  </w:num>
  <w:num w:numId="23" w16cid:durableId="1487935711">
    <w:abstractNumId w:val="7"/>
  </w:num>
  <w:num w:numId="24" w16cid:durableId="126440411">
    <w:abstractNumId w:val="20"/>
  </w:num>
  <w:num w:numId="25" w16cid:durableId="1022903728">
    <w:abstractNumId w:val="11"/>
  </w:num>
  <w:num w:numId="26" w16cid:durableId="1061824783">
    <w:abstractNumId w:val="9"/>
  </w:num>
  <w:num w:numId="27" w16cid:durableId="631791494">
    <w:abstractNumId w:val="22"/>
  </w:num>
  <w:num w:numId="28" w16cid:durableId="1432510178">
    <w:abstractNumId w:val="30"/>
  </w:num>
  <w:num w:numId="29" w16cid:durableId="1556426804">
    <w:abstractNumId w:val="18"/>
  </w:num>
  <w:num w:numId="30" w16cid:durableId="592517541">
    <w:abstractNumId w:val="29"/>
  </w:num>
  <w:num w:numId="31" w16cid:durableId="1078600737">
    <w:abstractNumId w:val="0"/>
  </w:num>
  <w:num w:numId="32" w16cid:durableId="198251411">
    <w:abstractNumId w:val="21"/>
  </w:num>
  <w:num w:numId="33" w16cid:durableId="20092817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CF0"/>
    <w:rsid w:val="00053A88"/>
    <w:rsid w:val="000A2560"/>
    <w:rsid w:val="000A2EC1"/>
    <w:rsid w:val="001D6927"/>
    <w:rsid w:val="00322F72"/>
    <w:rsid w:val="00332E5C"/>
    <w:rsid w:val="0038319A"/>
    <w:rsid w:val="003F2AD5"/>
    <w:rsid w:val="003F5CF0"/>
    <w:rsid w:val="004F4F69"/>
    <w:rsid w:val="009E4406"/>
    <w:rsid w:val="00A3429C"/>
    <w:rsid w:val="00AE4484"/>
    <w:rsid w:val="00BC780A"/>
    <w:rsid w:val="00C119B1"/>
    <w:rsid w:val="00D13948"/>
    <w:rsid w:val="00EC077E"/>
    <w:rsid w:val="00FD7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4931D2"/>
  <w15:chartTrackingRefBased/>
  <w15:docId w15:val="{ED9DADF6-E6A9-4FAA-903E-BF506E179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IN" w:eastAsia="en-US" w:bidi="mr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F5C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5C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5CF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5C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5CF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5C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5C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5C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5C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5CF0"/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5CF0"/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5CF0"/>
    <w:rPr>
      <w:rFonts w:eastAsiaTheme="majorEastAsia" w:cstheme="majorBidi"/>
      <w:color w:val="0F4761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5CF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5CF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5C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5C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5C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5C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5C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3F5CF0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5C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3F5CF0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3F5C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F5C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5C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F5C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5C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5CF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5CF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866</Words>
  <Characters>4940</Characters>
  <Application>Microsoft Office Word</Application>
  <DocSecurity>0</DocSecurity>
  <Lines>41</Lines>
  <Paragraphs>11</Paragraphs>
  <ScaleCrop>false</ScaleCrop>
  <Company/>
  <LinksUpToDate>false</LinksUpToDate>
  <CharactersWithSpaces>5795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VAIBHAV MODI</dc:creator>
  <cp:keywords/>
  <dc:description/>
  <cp:lastModifiedBy>VAIBHAV MODI</cp:lastModifiedBy>
  <cp:revision>6</cp:revision>
  <dcterms:created xsi:type="dcterms:W3CDTF">2025-12-29T07:37:00Z</dcterms:created>
  <dcterms:modified xsi:type="dcterms:W3CDTF">2025-12-30T12:44:00Z</dcterms:modified>
</cp:coreProperties>
</file>